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Zał. nr 5 do ZW 8/2020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Załącznik  nr …  do programu studiów </w:t>
      </w:r>
    </w:p>
    <w:tbl>
      <w:tblPr>
        <w:tblStyle w:val="Table1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WYDZIAŁ ……… / STUDIUM……………… </w:t>
            </w:r>
          </w:p>
          <w:p w:rsidR="00000000" w:rsidDel="00000000" w:rsidP="00000000" w:rsidRDefault="00000000" w:rsidRPr="00000000" w14:paraId="0000000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KARTA PRZEDMIOTU</w:t>
            </w:r>
          </w:p>
          <w:p w:rsidR="00000000" w:rsidDel="00000000" w:rsidP="00000000" w:rsidRDefault="00000000" w:rsidRPr="00000000" w14:paraId="00000005">
            <w:pPr>
              <w:keepNext w:val="1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przedmiotu w języku polskim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Przetwarzanie danych masowych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Nazwa przedmiotu w języku angielskim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Large scale data processing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1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Kierunek studiów (jeśli dotyczy):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Sztuczna inteligen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8">
            <w:pPr>
              <w:keepNext w:val="1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6" w:right="0" w:hanging="576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Specjalność (jeśli dotyczy): ……………………..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Poziom i forma studiów: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/ II stopień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jednolite studia magisterskie*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stacjonarna /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niestacjonarna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Rodzaj przedmiotu: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obowiązkowy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 wybieralny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ogólnouczelniany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Kod przedmiotu</w:t>
              <w:tab/>
              <w:tab/>
              <w:t xml:space="preserve">…………….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Grupa kursów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1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/ NIE*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02"/>
        <w:gridCol w:w="1134"/>
        <w:gridCol w:w="1267"/>
        <w:gridCol w:w="1426"/>
        <w:gridCol w:w="1276"/>
        <w:gridCol w:w="1305"/>
        <w:tblGridChange w:id="0">
          <w:tblGrid>
            <w:gridCol w:w="2802"/>
            <w:gridCol w:w="1134"/>
            <w:gridCol w:w="1267"/>
            <w:gridCol w:w="1426"/>
            <w:gridCol w:w="1276"/>
            <w:gridCol w:w="1305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Wykład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Ćwiczenia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Laboratorium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Projekt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Seminarium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Liczba godzin zajęć zorganizowanych w Uczelni (ZZU)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Liczba godzin całkowitego nakładu pracy studenta (CNPS)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zaliczenia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zaliczenie na ocenę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*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zaliczenie na ocenę*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/ zaliczenie na ocenę*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zaliczenie na ocenę*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Egzamin / zaliczenie na ocenę*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Dla grupy kursów zaznaczyć kurs końcowy (X)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punktów ECTS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tym liczba punktów odpowiadająca zajęciom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charakterze praktycznym (P)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tym liczba punktów ECTS odpowiadająca zajęciom wymagającym bezpośredniego udziału nauczycieli lub innych osób prowadzących zajęcia  (BU)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*niepotrzebne skreślić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WYMAGANIA WSTĘPNE W ZAKRESIE WIEDZY, UMIEJĘTNOŚCI I KOMPETENCJI SPOŁECZNYCH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1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Umiejętność programowania w języku Python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1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Znajomość modeli uczenia maszynowego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1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Posiadanie podstawowych umiejętności z zakresu wykorzystania systemów z rodziny Unix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1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Znajomość oraz umiejętność wykorzystania paradygmatów programowania (obiektowy, funkcyjny)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\</w:t>
      </w:r>
    </w:p>
    <w:tbl>
      <w:tblPr>
        <w:tblStyle w:val="Table4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10"/>
        <w:tblGridChange w:id="0">
          <w:tblGrid>
            <w:gridCol w:w="921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CELE PRZEDMIOTU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C1 Zapoznanie student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ów z podstawowymi mechanizmami przetwarzania danych masowych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C2  Zapoznanie studen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tów z metodami wdrażania i utrzymywania aplikacji uczenia maszynowego w środowiskach produkcyjnych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C3 Przedstawienie najważniejszych narzędzi do przetwarzania danych masowych oraz zarządzania zasobami obliczeniowymi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C4 Nabycie umiejętności implementacji aplikacji do przetwarzania danych masowych oraz jej wdrożenia w ramach systemu produkcyjnego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trHeight w:val="341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3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862" w:right="0" w:hanging="862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PRZEDMIOTOWE EFEKTY UCZENIA SIĘ</w:t>
            </w:r>
          </w:p>
          <w:p w:rsidR="00000000" w:rsidDel="00000000" w:rsidP="00000000" w:rsidRDefault="00000000" w:rsidRPr="00000000" w14:paraId="0000005E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 zakresu wiedzy:</w:t>
            </w:r>
          </w:p>
          <w:p w:rsidR="00000000" w:rsidDel="00000000" w:rsidP="00000000" w:rsidRDefault="00000000" w:rsidRPr="00000000" w14:paraId="0000005F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KSI_W08 - Zna różnorodne zastosowania technik analizy multimediów w zagadnieniach związanych z pozyskiwaniem informacji z danych masowych i złożonych</w:t>
            </w:r>
          </w:p>
          <w:p w:rsidR="00000000" w:rsidDel="00000000" w:rsidP="00000000" w:rsidRDefault="00000000" w:rsidRPr="00000000" w14:paraId="00000060">
            <w:pPr>
              <w:tabs>
                <w:tab w:val="left" w:pos="719"/>
              </w:tabs>
              <w:ind w:left="0" w:firstLine="0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 zakresu umiejętności:</w:t>
            </w:r>
          </w:p>
          <w:p w:rsidR="00000000" w:rsidDel="00000000" w:rsidP="00000000" w:rsidRDefault="00000000" w:rsidRPr="00000000" w14:paraId="00000062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KSI_U03 - Potrafi sformułować problem do rozwiązania, zebrać i oczyścić dane, dobrać metodę oraz przeprowadzić eksperymenty a otrzymane wyniki poddać krytycznej analizie, dokonać ich interpretacji i prezentacji</w:t>
            </w:r>
          </w:p>
          <w:p w:rsidR="00000000" w:rsidDel="00000000" w:rsidP="00000000" w:rsidRDefault="00000000" w:rsidRPr="00000000" w14:paraId="00000063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KSI_U04 - Potrafi dokonać oceny rozwiązania w zakresie pozyskania danych, ich przetwarzania oraz analizy a także ekstrakcji wiedzy a także zaproponować jego ulepszenie.</w:t>
            </w:r>
          </w:p>
          <w:p w:rsidR="00000000" w:rsidDel="00000000" w:rsidP="00000000" w:rsidRDefault="00000000" w:rsidRPr="00000000" w14:paraId="00000064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 zakresu kompetencji społecznych:</w:t>
            </w:r>
          </w:p>
          <w:p w:rsidR="00000000" w:rsidDel="00000000" w:rsidP="00000000" w:rsidRDefault="00000000" w:rsidRPr="00000000" w14:paraId="00000066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KSI_K01 - Jest gotów do krytycznej oceny odbieranych treści, ma świadomość znaczenia wiedzy w rozwiązywaniu problemów.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30.0" w:type="dxa"/>
        <w:jc w:val="left"/>
        <w:tblInd w:w="-10.0" w:type="dxa"/>
        <w:tblLayout w:type="fixed"/>
        <w:tblLook w:val="0000"/>
      </w:tblPr>
      <w:tblGrid>
        <w:gridCol w:w="765"/>
        <w:gridCol w:w="6988"/>
        <w:gridCol w:w="1477"/>
        <w:tblGridChange w:id="0">
          <w:tblGrid>
            <w:gridCol w:w="765"/>
            <w:gridCol w:w="6988"/>
            <w:gridCol w:w="1477"/>
          </w:tblGrid>
        </w:tblGridChange>
      </w:tblGrid>
      <w:tr>
        <w:trPr>
          <w:trHeight w:val="336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TREŚCI PROGRAMOWE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1"/>
              <w:keepLines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 zajęć - wykład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1"/>
              <w:keepLines w:val="0"/>
              <w:widowControl w:val="1"/>
              <w:numPr>
                <w:ilvl w:val="4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hanging="1005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 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Wprowadzenie do problemu przetwarzania danych masowych. Zasady zaliczenia.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Taksonomia metod przetwarzania danych masowych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Podstawowe metody zrównoleglania algorytmów uczenia maszynowego. Przetwarzanie synchroniczne i asynchroniczne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Spark - przetwarzanie danych z wykorzystaniem paradygmatu Map-reduce - przetwarzanie wsadowe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spacing w:after="20" w:before="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Spark - przetwarzanie danych z wykorzystaniem paradygmatu Map-reduce - przetwarzanie strumieniowe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spacing w:after="20" w:before="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Flink - przetwarzanie danych w sposób strumieniowy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spacing w:after="20" w:before="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Flink - przetwarzanie danych w sposób wsadowy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spacing w:after="20" w:before="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Produkcyjne aspekty utrzymywania i wdrażania aplikacjami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spacing w:after="20" w:before="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Platformy zarządzania zasobami obliczeniowymi - wprowadzenie, OpenStack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spacing w:after="20" w:before="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Platformy zarządzania zasobami obliczeniowymi - Kubernetes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spacing w:after="20" w:before="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Metody automatyzacji zarządzania produkcyjnymi aplikacjami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spacing w:after="20" w:before="2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Języki do przetwarzania danych masowych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Przykładowe metody z rodziny Gradient Boosting Machine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Zaawansowane metody zrównoleglania algorytmów uczenia maszynowego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Recap - podsumowanie wykładu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zajęć - ćwiczenia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c>
          <w:tcPr>
            <w:gridSpan w:val="2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zajęć - laboratorium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Zapoznanie z programem laboratorium, sposobami oceny, szkolenie BHP.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Podstawy wykorzystania infrastruktury chmurowej - Unix, Shell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Podstawy wykorzystania kontenerów - Docker, containerd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Ewaluacja metod zrównoleglania zadań - Python, wątki i procesy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Wykorzystanie przetwarzania opartego o broker wiadomości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Wykorzystanie podejścia MapReduce w przetwarzaniu danych masowych - Spark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Wykorzystanie podejścia MapReduce w przetwarzaniu danych masowych - Flink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Implementacja rozproszonego mechanizmu pozyskiwania danych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Implementacja mechanizmu czyszczenia i ekstrakcji cech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Wybór i ewaluacja modeli uczenia maszynowego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Wykorzystanie rozwiązania Kubernetes w przetwarzaniu danych masowych - K3S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Uruchomienie opracowanej metody z wykorzystaniem środowiska Kubernetes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Udostępnienie opracowanej metody - API gRPC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Wykorzystanie opracowanej metody - API REST/GraphQL + SPA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Prezentacja całościowego rozwiązania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230.0" w:type="dxa"/>
        <w:jc w:val="left"/>
        <w:tblInd w:w="-10.0" w:type="dxa"/>
        <w:tblLayout w:type="fixed"/>
        <w:tblLook w:val="0000"/>
      </w:tblPr>
      <w:tblGrid>
        <w:gridCol w:w="765"/>
        <w:gridCol w:w="6988"/>
        <w:gridCol w:w="1477"/>
        <w:tblGridChange w:id="0">
          <w:tblGrid>
            <w:gridCol w:w="765"/>
            <w:gridCol w:w="6988"/>
            <w:gridCol w:w="1477"/>
          </w:tblGrid>
        </w:tblGridChange>
      </w:tblGrid>
      <w:tr>
        <w:trPr>
          <w:trHeight w:val="2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1"/>
              <w:keepLines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Forma zajęć - projekt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1"/>
              <w:keepLines w:val="0"/>
              <w:widowControl w:val="1"/>
              <w:numPr>
                <w:ilvl w:val="4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0" w:right="0" w:hanging="1005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21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6946"/>
        <w:gridCol w:w="1447"/>
        <w:tblGridChange w:id="0">
          <w:tblGrid>
            <w:gridCol w:w="817"/>
            <w:gridCol w:w="6946"/>
            <w:gridCol w:w="1447"/>
          </w:tblGrid>
        </w:tblGridChange>
      </w:tblGrid>
      <w:tr>
        <w:tc>
          <w:tcPr>
            <w:gridSpan w:val="2"/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zajęć - seminarium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Suma godzin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trHeight w:val="15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1"/>
              <w:keepLines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60" w:line="240" w:lineRule="auto"/>
              <w:ind w:left="720" w:right="0" w:hanging="72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STOSOWANE NARZĘDZIA DYDAKTYCZNE</w:t>
            </w:r>
          </w:p>
        </w:tc>
      </w:tr>
      <w:tr>
        <w:trPr>
          <w:trHeight w:val="56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N1. Wykład - prezentacja multimedialna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N2. Środowisko deweloperskie Python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N3. Biblioteki programistyczne dla języka Python</w:t>
            </w:r>
          </w:p>
        </w:tc>
      </w:tr>
    </w:tbl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OCENA OSIĄGNIĘCIA PRZEDMIOTOWYCH EFEKTÓW UCZENIA SIĘ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2126"/>
        <w:gridCol w:w="4642"/>
        <w:tblGridChange w:id="0">
          <w:tblGrid>
            <w:gridCol w:w="2518"/>
            <w:gridCol w:w="2126"/>
            <w:gridCol w:w="464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(F – formująca (w trakcie semestru), P – podsumowująca (na koniec semestru)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 efektu uczenia się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Sposób oceny osiągnięcia efektu uczenia się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KSI_U03</w:t>
            </w:r>
          </w:p>
          <w:p w:rsidR="00000000" w:rsidDel="00000000" w:rsidP="00000000" w:rsidRDefault="00000000" w:rsidRPr="00000000" w14:paraId="00000124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KSI_U04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Kontrola zrealizowania zadań studentów. Każde zadanie ma ustaloną liczbę punktów. Suma punktów przeliczana na ocenę w następujący sposób:</w:t>
            </w:r>
          </w:p>
          <w:p w:rsidR="00000000" w:rsidDel="00000000" w:rsidP="00000000" w:rsidRDefault="00000000" w:rsidRPr="00000000" w14:paraId="0000012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&lt;50%, 60%)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dst</w:t>
            </w:r>
          </w:p>
          <w:p w:rsidR="00000000" w:rsidDel="00000000" w:rsidP="00000000" w:rsidRDefault="00000000" w:rsidRPr="00000000" w14:paraId="0000012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&lt;60%, 70%)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dst+</w:t>
            </w:r>
          </w:p>
          <w:p w:rsidR="00000000" w:rsidDel="00000000" w:rsidP="00000000" w:rsidRDefault="00000000" w:rsidRPr="00000000" w14:paraId="0000012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&lt;70%, 80%)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db</w:t>
            </w:r>
          </w:p>
          <w:p w:rsidR="00000000" w:rsidDel="00000000" w:rsidP="00000000" w:rsidRDefault="00000000" w:rsidRPr="00000000" w14:paraId="0000012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&lt;80%, 90%)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db+</w:t>
            </w:r>
          </w:p>
          <w:p w:rsidR="00000000" w:rsidDel="00000000" w:rsidP="00000000" w:rsidRDefault="00000000" w:rsidRPr="00000000" w14:paraId="000001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&lt;90%, 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bdb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 - wykład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tabs>
                <w:tab w:val="left" w:pos="719"/>
              </w:tabs>
              <w:ind w:left="719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KSI_W08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Egzamin z pytaniami otwartymi i zamkniętymi. Do każdego pytania przypisana jest liczba punktów. Suma punktów jest przeliczana na końcową ocenę w następujący sposób: </w:t>
            </w:r>
          </w:p>
          <w:p w:rsidR="00000000" w:rsidDel="00000000" w:rsidP="00000000" w:rsidRDefault="00000000" w:rsidRPr="00000000" w14:paraId="0000012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&lt;50%, 60%)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dst</w:t>
            </w:r>
          </w:p>
          <w:p w:rsidR="00000000" w:rsidDel="00000000" w:rsidP="00000000" w:rsidRDefault="00000000" w:rsidRPr="00000000" w14:paraId="000001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&lt;60%, 70%)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dst+</w:t>
            </w:r>
          </w:p>
          <w:p w:rsidR="00000000" w:rsidDel="00000000" w:rsidP="00000000" w:rsidRDefault="00000000" w:rsidRPr="00000000" w14:paraId="0000013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&lt;70%, 80%)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db</w:t>
            </w:r>
          </w:p>
          <w:p w:rsidR="00000000" w:rsidDel="00000000" w:rsidP="00000000" w:rsidRDefault="00000000" w:rsidRPr="00000000" w14:paraId="000001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&lt;80%, 90%)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db+</w:t>
            </w:r>
          </w:p>
          <w:p w:rsidR="00000000" w:rsidDel="00000000" w:rsidP="00000000" w:rsidRDefault="00000000" w:rsidRPr="00000000" w14:paraId="000001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&lt;90%,  </w:t>
            </w:r>
            <w:r w:rsidDel="00000000" w:rsidR="00000000" w:rsidRPr="00000000">
              <w:rPr>
                <w:rFonts w:ascii="Wingdings" w:cs="Wingdings" w:eastAsia="Wingdings" w:hAnsi="Wingdings"/>
                <w:sz w:val="22"/>
                <w:szCs w:val="22"/>
                <w:rtl w:val="0"/>
              </w:rPr>
              <w:t xml:space="preserve">🡪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bdb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230.0" w:type="dxa"/>
        <w:jc w:val="left"/>
        <w:tblInd w:w="-10.0" w:type="dxa"/>
        <w:tblLayout w:type="fixed"/>
        <w:tblLook w:val="0000"/>
      </w:tblPr>
      <w:tblGrid>
        <w:gridCol w:w="9230"/>
        <w:tblGridChange w:id="0">
          <w:tblGrid>
            <w:gridCol w:w="9230"/>
          </w:tblGrid>
        </w:tblGridChange>
      </w:tblGrid>
      <w:tr>
        <w:trPr>
          <w:trHeight w:val="31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LITERATURA PODSTAWOWA I UZUPEŁNIAJĄCA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1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LITERATURA PODSTAWOWA: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tabs>
                <w:tab w:val="left" w:pos="577"/>
              </w:tabs>
              <w:ind w:left="577" w:hanging="567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Leskovec, J., Rajaraman, A., &amp; Ullman, J. D. Mining of massive datasets. Cambridge university press (2014)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tabs>
                <w:tab w:val="left" w:pos="577"/>
              </w:tabs>
              <w:ind w:left="577" w:hanging="567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VanderPlas, J.: Python Data Science Handbook: Essential Tools for Working with Data, O'Reilly Media (2016)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2"/>
              </w:numPr>
              <w:tabs>
                <w:tab w:val="left" w:pos="577"/>
              </w:tabs>
              <w:ind w:left="577" w:hanging="567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S.E. Ahmed (Ed.): Big and Complex Data Analysis, Methodologies and Applications, Springer (2017)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2"/>
              </w:numPr>
              <w:tabs>
                <w:tab w:val="left" w:pos="577"/>
              </w:tabs>
              <w:ind w:left="577" w:hanging="567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Wilhelm, A. F., Kestler, H. A. (Eds.): Analysis of Large and Complex Data. Springer (2016)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2"/>
              </w:numPr>
              <w:tabs>
                <w:tab w:val="left" w:pos="577"/>
              </w:tabs>
              <w:ind w:left="577" w:hanging="567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Provost, F., Fawcett, T.: Data Science for Business: What You Need to Know about Data Mining and Data-Analytic Thinking, O'Reilly Media (2013)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2"/>
              </w:numPr>
              <w:tabs>
                <w:tab w:val="left" w:pos="577"/>
              </w:tabs>
              <w:ind w:left="577" w:hanging="567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Zaharia M., Wendell P., Konwinski A., Karau H., Learning Spark, (2015)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LITERATURA UZUPEŁNIAJĄCA: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7" w:right="0" w:hanging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L. Jimmy, D. Chris. Data-Intensive Text Processing with MapReduce (2010), http://lintool.github.com/MapReduceAlgorithms/index.html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OPIEKUN PRZEDMIOTU (IMIĘ, NAZWISKO, ADRES E-MAIL)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ind w:left="0" w:firstLine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Tomasz Kajdanowicz, tomasz.kajdanowicz@pwr.edu.pl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8" w:top="1418" w:left="1418" w:right="1418" w:header="708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[%1] "/>
      <w:lvlJc w:val="left"/>
      <w:pPr>
        <w:ind w:left="73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5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7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9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1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3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9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[%1] 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0">
    <w:name w:val="Nagłówek 1"/>
    <w:basedOn w:val="Normalny"/>
    <w:next w:val="Normalny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21">
    <w:name w:val="Nagłówek 2"/>
    <w:basedOn w:val="Normalny"/>
    <w:next w:val="Normalny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3">
    <w:name w:val="Nagłówek 3"/>
    <w:basedOn w:val="Normalny"/>
    <w:next w:val="Normalny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4">
    <w:name w:val="Nagłówek 4"/>
    <w:basedOn w:val="Normalny"/>
    <w:next w:val="Normalny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5">
    <w:name w:val="Nagłówek 5"/>
    <w:basedOn w:val="Normalny"/>
    <w:next w:val="Normalny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4"/>
    </w:pPr>
    <w:rPr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6">
    <w:name w:val="Nagłówek 6"/>
    <w:basedOn w:val="Normalny"/>
    <w:next w:val="Normalny"/>
    <w:autoRedefine w:val="0"/>
    <w:hidden w:val="0"/>
    <w:qFormat w:val="0"/>
    <w:pPr>
      <w:keepNext w:val="1"/>
      <w:numPr>
        <w:ilvl w:val="5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7">
    <w:name w:val="Nagłówek 7"/>
    <w:basedOn w:val="Normalny"/>
    <w:next w:val="Normalny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after="60" w:before="60" w:line="1" w:lineRule="atLeast"/>
      <w:ind w:leftChars="-1" w:rightChars="0" w:firstLineChars="-1"/>
      <w:textDirection w:val="btLr"/>
      <w:textAlignment w:val="top"/>
      <w:outlineLvl w:val="6"/>
    </w:pPr>
    <w:rPr>
      <w:rFonts w:ascii="Arial" w:cs="Arial" w:hAnsi="Arial"/>
      <w:b w:val="1"/>
      <w:bCs w:val="1"/>
      <w:cap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Domyślnaczcionkaakapitu2">
    <w:name w:val="Domyślna czcionka akapitu2"/>
    <w:next w:val="Domyślnaczcionkaakapitu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Numerstrony">
    <w:name w:val="Numer strony"/>
    <w:basedOn w:val="Domyślnaczcionkaakapitu1"/>
    <w:next w:val="Numerstron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UżyteHiperłącze">
    <w:name w:val="UżyteHiperłącze"/>
    <w:next w:val="UżyteHiperłącze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agłówek2">
    <w:name w:val="Nagłówek2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Podpis2">
    <w:name w:val="Podpis2"/>
    <w:basedOn w:val="Normalny"/>
    <w:next w:val="Podpis2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l-PL"/>
    </w:rPr>
  </w:style>
  <w:style w:type="paragraph" w:styleId="Podpis1">
    <w:name w:val="Podpis1"/>
    <w:basedOn w:val="Normalny"/>
    <w:next w:val="Podpis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Tekstpodstawowy21">
    <w:name w:val="Tekst podstawowy 21"/>
    <w:basedOn w:val="Normalny"/>
    <w:next w:val="Tekstpodstawowy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Zawartośćtabeli">
    <w:name w:val="Zawartość tabeli"/>
    <w:basedOn w:val="Normalny"/>
    <w:next w:val="Zawartość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Nagłówektabeli">
    <w:name w:val="Nagłówek tabeli"/>
    <w:basedOn w:val="Zawartośćtabeli"/>
    <w:next w:val="Nagłówektabeli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paragraph" w:styleId="Zawartośćramki">
    <w:name w:val="Zawartość ramki"/>
    <w:basedOn w:val="Tekstpodstawowy"/>
    <w:next w:val="Zawartośćramki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pl-PL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1kpvk7bvse/uQe6OFipdTYBaow==">AMUW2mXpcbT1LMZoiPRidQxrcvR4jhYqiK/c920+FUEby3aE4OiOk5xfrLRQ9oVTvUuXqC1KpqgZsD7OZF/rSzkqddzFsytGaKGlhA/9alTZjR2HKEg1jiU=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9223461-D086-47D3-8590-822E735802AC}"/>
</file>

<file path=customXML/itemProps3.xml><?xml version="1.0" encoding="utf-8"?>
<ds:datastoreItem xmlns:ds="http://schemas.openxmlformats.org/officeDocument/2006/customXml" ds:itemID="{55493454-B652-43F2-AAEE-0B5F3E8E4E0C}"/>
</file>

<file path=customXML/itemProps4.xml><?xml version="1.0" encoding="utf-8"?>
<ds:datastoreItem xmlns:ds="http://schemas.openxmlformats.org/officeDocument/2006/customXml" ds:itemID="{D5E62C04-5AB9-4629-86C8-FDF033B50E87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dcterms:created xsi:type="dcterms:W3CDTF">2020-05-23T09:31:00Z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Order">
    <vt:r8>891100</vt:r8>
  </property>
  <property fmtid="{D5CDD505-2E9C-101B-9397-08002B2CF9AE}" pid="4" name="MediaServiceImageTags">
    <vt:lpwstr/>
  </property>
</Properties>
</file>